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bookmarkStart w:id="0" w:name="_GoBack"/>
      <w:bookmarkEnd w:id="0"/>
      <w:r>
        <w:rPr>
          <w:rFonts w:hint="eastAsia" w:asciiTheme="minorEastAsia" w:hAnsiTheme="minorEastAsia" w:cstheme="minorEastAsia"/>
          <w:b/>
          <w:color w:val="333333"/>
          <w:sz w:val="28"/>
          <w:szCs w:val="28"/>
        </w:rPr>
        <w:t xml:space="preserve">        2018年度</w:t>
      </w:r>
      <w:r>
        <w:rPr>
          <w:rFonts w:hint="eastAsia" w:asciiTheme="minorEastAsia" w:hAnsiTheme="minorEastAsia" w:cstheme="minorEastAsia"/>
          <w:b/>
          <w:color w:val="333333"/>
          <w:sz w:val="28"/>
          <w:szCs w:val="28"/>
          <w:lang w:eastAsia="zh-CN"/>
        </w:rPr>
        <w:t>绥滨县第一小学</w:t>
      </w:r>
      <w:r>
        <w:rPr>
          <w:rFonts w:hint="eastAsia" w:asciiTheme="minorEastAsia" w:hAnsiTheme="minorEastAsia" w:cstheme="minorEastAsia"/>
          <w:b/>
          <w:color w:val="333333"/>
          <w:sz w:val="28"/>
          <w:szCs w:val="28"/>
        </w:rPr>
        <w:t>决算文字说明</w:t>
      </w:r>
    </w:p>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b/>
          <w:color w:val="333333"/>
          <w:sz w:val="28"/>
          <w:szCs w:val="28"/>
        </w:rPr>
        <w:t>第一部分 部门概况</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0" w:lineRule="atLeast"/>
        <w:rPr>
          <w:rFonts w:asciiTheme="minorEastAsia" w:hAnsiTheme="minorEastAsia" w:cstheme="minorEastAsia"/>
          <w:sz w:val="28"/>
          <w:szCs w:val="28"/>
        </w:rPr>
      </w:pPr>
      <w:r>
        <w:rPr>
          <w:rFonts w:hint="eastAsia" w:asciiTheme="minorEastAsia" w:hAnsiTheme="minorEastAsia" w:cstheme="minorEastAsia"/>
          <w:color w:val="333333"/>
          <w:sz w:val="28"/>
          <w:szCs w:val="28"/>
        </w:rPr>
        <w:t>    一、主要职能</w:t>
      </w:r>
    </w:p>
    <w:p>
      <w:pPr>
        <w:pStyle w:val="4"/>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hint="eastAsia" w:asciiTheme="minorEastAsia" w:hAnsiTheme="minorEastAsia" w:cstheme="minorEastAsia"/>
          <w:color w:val="333333"/>
          <w:sz w:val="28"/>
          <w:szCs w:val="28"/>
          <w:shd w:val="clear" w:color="auto" w:fill="FFFFFF"/>
        </w:rPr>
        <w:t>    （一）</w:t>
      </w:r>
      <w:r>
        <w:rPr>
          <w:rFonts w:hint="eastAsia" w:asciiTheme="minorEastAsia" w:hAnsiTheme="minorEastAsia" w:cstheme="minorEastAsia"/>
          <w:color w:val="333333"/>
          <w:sz w:val="28"/>
          <w:szCs w:val="28"/>
          <w:shd w:val="clear" w:color="auto" w:fill="FFFFFF"/>
          <w:lang w:val="en-US" w:eastAsia="zh-CN"/>
        </w:rPr>
        <w:t>:</w:t>
      </w:r>
      <w:r>
        <w:rPr>
          <w:rFonts w:hint="eastAsia" w:ascii="宋体" w:hAnsi="宋体"/>
          <w:sz w:val="30"/>
          <w:szCs w:val="30"/>
        </w:rPr>
        <w:t>实施小学义务教育</w:t>
      </w:r>
    </w:p>
    <w:p>
      <w:pPr>
        <w:pStyle w:val="4"/>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hint="eastAsia" w:asciiTheme="minorEastAsia" w:hAnsiTheme="minorEastAsia" w:cstheme="minorEastAsia"/>
          <w:color w:val="333333"/>
          <w:sz w:val="28"/>
          <w:szCs w:val="28"/>
          <w:shd w:val="clear" w:color="auto" w:fill="FFFFFF"/>
        </w:rPr>
        <w:t>    （二）</w:t>
      </w:r>
      <w:r>
        <w:rPr>
          <w:rFonts w:hint="eastAsia" w:asciiTheme="minorEastAsia" w:hAnsiTheme="minorEastAsia" w:cstheme="minorEastAsia"/>
          <w:color w:val="333333"/>
          <w:sz w:val="28"/>
          <w:szCs w:val="28"/>
          <w:shd w:val="clear" w:color="auto" w:fill="FFFFFF"/>
          <w:lang w:val="en-US" w:eastAsia="zh-CN"/>
        </w:rPr>
        <w:t>:</w:t>
      </w:r>
      <w:r>
        <w:rPr>
          <w:rFonts w:hint="eastAsia" w:ascii="宋体" w:hAnsi="宋体"/>
          <w:sz w:val="30"/>
          <w:szCs w:val="30"/>
        </w:rPr>
        <w:t>促进基础教育发展</w:t>
      </w:r>
      <w:r>
        <w:rPr>
          <w:rFonts w:hint="eastAsia" w:asciiTheme="minorEastAsia" w:hAnsiTheme="minorEastAsia" w:cstheme="minorEastAsia"/>
          <w:color w:val="333333"/>
          <w:sz w:val="28"/>
          <w:szCs w:val="28"/>
          <w:shd w:val="clear" w:color="auto" w:fill="FFFFFF"/>
        </w:rPr>
        <w:br w:type="textWrapping"/>
      </w:r>
      <w:r>
        <w:rPr>
          <w:rFonts w:hint="eastAsia" w:asciiTheme="minorEastAsia" w:hAnsiTheme="minorEastAsia" w:cstheme="minorEastAsia"/>
          <w:color w:val="333333"/>
          <w:sz w:val="28"/>
          <w:szCs w:val="28"/>
          <w:shd w:val="clear" w:color="auto" w:fill="FFFFFF"/>
        </w:rPr>
        <w:t>    （三）</w:t>
      </w:r>
      <w:r>
        <w:rPr>
          <w:rFonts w:hint="eastAsia" w:asciiTheme="minorEastAsia" w:hAnsiTheme="minorEastAsia" w:cstheme="minorEastAsia"/>
          <w:color w:val="333333"/>
          <w:sz w:val="28"/>
          <w:szCs w:val="28"/>
          <w:shd w:val="clear" w:color="auto" w:fill="FFFFFF"/>
          <w:lang w:val="en-US" w:eastAsia="zh-CN"/>
        </w:rPr>
        <w:t>:</w:t>
      </w:r>
      <w:r>
        <w:rPr>
          <w:rFonts w:hint="eastAsia" w:ascii="宋体" w:hAnsi="宋体"/>
          <w:sz w:val="30"/>
          <w:szCs w:val="30"/>
        </w:rPr>
        <w:t>小学学历教育</w:t>
      </w:r>
      <w:r>
        <w:rPr>
          <w:rFonts w:hint="eastAsia" w:asciiTheme="minorEastAsia" w:hAnsiTheme="minorEastAsia" w:eastAsiaTheme="minorEastAsia" w:cstheme="minorEastAsia"/>
          <w:color w:val="333333"/>
          <w:sz w:val="28"/>
          <w:szCs w:val="28"/>
          <w:shd w:val="clear" w:fill="FFFFFF"/>
          <w:lang w:val="en-US" w:eastAsia="zh-CN"/>
        </w:rPr>
        <w:t xml:space="preserve"> </w:t>
      </w:r>
    </w:p>
    <w:p>
      <w:pPr>
        <w:pStyle w:val="4"/>
        <w:widowControl/>
        <w:shd w:val="clear" w:color="auto" w:fill="FFFFFF"/>
        <w:spacing w:before="180" w:beforeAutospacing="0" w:after="360" w:afterAutospacing="0" w:line="360" w:lineRule="atLeast"/>
        <w:ind w:firstLine="1120" w:firstLineChars="400"/>
        <w:rPr>
          <w:rFonts w:asciiTheme="minorEastAsia" w:hAnsiTheme="minorEastAsia" w:cstheme="minorEastAsia"/>
          <w:sz w:val="28"/>
          <w:szCs w:val="28"/>
        </w:rPr>
      </w:pPr>
      <w:r>
        <w:rPr>
          <w:rFonts w:hint="eastAsia" w:asciiTheme="minorEastAsia" w:hAnsiTheme="minorEastAsia" w:cstheme="minorEastAsia"/>
          <w:color w:val="333333"/>
          <w:sz w:val="28"/>
          <w:szCs w:val="28"/>
          <w:shd w:val="clear" w:color="auto" w:fill="FFFFFF"/>
        </w:rPr>
        <w:t>（四）</w:t>
      </w:r>
      <w:r>
        <w:rPr>
          <w:rFonts w:hint="eastAsia" w:asciiTheme="minorEastAsia" w:hAnsiTheme="minorEastAsia" w:cstheme="minorEastAsia"/>
          <w:color w:val="333333"/>
          <w:sz w:val="28"/>
          <w:szCs w:val="28"/>
          <w:shd w:val="clear" w:color="auto" w:fill="FFFFFF"/>
          <w:lang w:val="en-US" w:eastAsia="zh-CN"/>
        </w:rPr>
        <w:t>:</w:t>
      </w:r>
      <w:r>
        <w:rPr>
          <w:rFonts w:hint="eastAsia" w:ascii="宋体" w:hAnsi="宋体"/>
          <w:sz w:val="30"/>
          <w:szCs w:val="30"/>
        </w:rPr>
        <w:t>相关社会服务</w:t>
      </w:r>
      <w:r>
        <w:rPr>
          <w:rFonts w:hint="eastAsia" w:asciiTheme="minorEastAsia" w:hAnsiTheme="minorEastAsia" w:cstheme="minorEastAsia"/>
          <w:color w:val="333333"/>
          <w:sz w:val="28"/>
          <w:szCs w:val="28"/>
          <w:shd w:val="clear" w:color="auto" w:fill="FFFFFF"/>
        </w:rPr>
        <w:t> </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二、机构设置及部门决算单位构成</w:t>
      </w:r>
    </w:p>
    <w:p>
      <w:pPr>
        <w:pStyle w:val="4"/>
        <w:widowControl/>
        <w:spacing w:before="180" w:beforeAutospacing="0" w:after="360" w:afterAutospacing="0" w:line="450" w:lineRule="atLeast"/>
        <w:ind w:left="260" w:firstLine="1257" w:firstLineChars="449"/>
        <w:rPr>
          <w:rFonts w:asciiTheme="minorEastAsia" w:hAnsiTheme="minorEastAsia" w:cstheme="minorEastAsia"/>
          <w:sz w:val="28"/>
          <w:szCs w:val="28"/>
        </w:rPr>
      </w:pPr>
      <w:r>
        <w:rPr>
          <w:rFonts w:hint="eastAsia" w:asciiTheme="minorEastAsia" w:hAnsiTheme="minorEastAsia" w:cstheme="minorEastAsia"/>
          <w:color w:val="333333"/>
          <w:sz w:val="28"/>
          <w:szCs w:val="28"/>
        </w:rPr>
        <w:t>为全额</w:t>
      </w:r>
      <w:r>
        <w:rPr>
          <w:rFonts w:hint="eastAsia" w:asciiTheme="minorEastAsia" w:hAnsiTheme="minorEastAsia" w:cstheme="minorEastAsia"/>
          <w:color w:val="333333"/>
          <w:sz w:val="28"/>
          <w:szCs w:val="28"/>
          <w:lang w:eastAsia="zh-CN"/>
        </w:rPr>
        <w:t>事业</w:t>
      </w:r>
      <w:r>
        <w:rPr>
          <w:rFonts w:hint="eastAsia" w:asciiTheme="minorEastAsia" w:hAnsiTheme="minorEastAsia" w:cstheme="minorEastAsia"/>
          <w:color w:val="333333"/>
          <w:sz w:val="28"/>
          <w:szCs w:val="28"/>
        </w:rPr>
        <w:t>单位，内设</w:t>
      </w:r>
      <w:r>
        <w:rPr>
          <w:rFonts w:hint="eastAsia" w:asciiTheme="minorEastAsia" w:hAnsiTheme="minorEastAsia" w:cstheme="minorEastAsia"/>
          <w:color w:val="333333"/>
          <w:sz w:val="28"/>
          <w:szCs w:val="28"/>
          <w:lang w:val="en-US" w:eastAsia="zh-CN"/>
        </w:rPr>
        <w:t>2</w:t>
      </w:r>
      <w:r>
        <w:rPr>
          <w:rFonts w:hint="eastAsia" w:asciiTheme="minorEastAsia" w:hAnsiTheme="minorEastAsia" w:cstheme="minorEastAsia"/>
          <w:color w:val="333333"/>
          <w:sz w:val="28"/>
          <w:szCs w:val="28"/>
        </w:rPr>
        <w:t>个内设机构，为一级预算单位。</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三、人员构成</w:t>
      </w:r>
    </w:p>
    <w:p>
      <w:pPr>
        <w:pStyle w:val="4"/>
        <w:widowControl/>
        <w:spacing w:before="180" w:beforeAutospacing="0" w:after="360" w:afterAutospacing="0" w:line="450" w:lineRule="atLeast"/>
        <w:ind w:left="458"/>
        <w:rPr>
          <w:rFonts w:asciiTheme="minorEastAsia" w:hAnsiTheme="minorEastAsia" w:cstheme="minorEastAsia"/>
          <w:sz w:val="28"/>
          <w:szCs w:val="28"/>
        </w:rPr>
      </w:pPr>
      <w:r>
        <w:rPr>
          <w:rFonts w:hint="eastAsia" w:asciiTheme="minorEastAsia" w:hAnsiTheme="minorEastAsia" w:cstheme="minorEastAsia"/>
          <w:color w:val="333333"/>
          <w:sz w:val="28"/>
          <w:szCs w:val="28"/>
        </w:rPr>
        <w:t>    行政单位编制数个，其中行政编制，在职人，退休人，离休人；事业编制</w:t>
      </w:r>
      <w:r>
        <w:rPr>
          <w:rFonts w:hint="eastAsia" w:asciiTheme="minorEastAsia" w:hAnsiTheme="minorEastAsia" w:cstheme="minorEastAsia"/>
          <w:color w:val="333333"/>
          <w:sz w:val="28"/>
          <w:szCs w:val="28"/>
          <w:lang w:val="en-US" w:eastAsia="zh-CN"/>
        </w:rPr>
        <w:t>91</w:t>
      </w:r>
      <w:r>
        <w:rPr>
          <w:rFonts w:hint="eastAsia" w:asciiTheme="minorEastAsia" w:hAnsi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66</w:t>
      </w:r>
      <w:r>
        <w:rPr>
          <w:rFonts w:hint="eastAsia" w:asciiTheme="minorEastAsia" w:hAnsi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75</w:t>
      </w:r>
      <w:r>
        <w:rPr>
          <w:rFonts w:hint="eastAsia" w:asciiTheme="minorEastAsia" w:hAnsiTheme="minorEastAsia" w:cstheme="minorEastAsia"/>
          <w:color w:val="333333"/>
          <w:sz w:val="28"/>
          <w:szCs w:val="28"/>
        </w:rPr>
        <w:t>人。</w:t>
      </w: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492" w:beforeAutospacing="0" w:after="672" w:afterAutospacing="0" w:line="450" w:lineRule="atLeast"/>
        <w:ind w:left="262"/>
        <w:rPr>
          <w:rFonts w:asciiTheme="minorEastAsia" w:hAnsiTheme="minorEastAsia" w:cstheme="minorEastAsia"/>
          <w:sz w:val="28"/>
          <w:szCs w:val="28"/>
        </w:rPr>
      </w:pPr>
      <w:r>
        <w:rPr>
          <w:rFonts w:hint="eastAsia" w:asciiTheme="minorEastAsia" w:hAnsiTheme="minorEastAsia" w:cstheme="minorEastAsia"/>
          <w:b/>
          <w:color w:val="333333"/>
          <w:sz w:val="28"/>
          <w:szCs w:val="28"/>
        </w:rPr>
        <w:t>第二部分2018年度部门决算情况说明</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一、2018年度收入支出决算总体情况说明</w:t>
      </w:r>
    </w:p>
    <w:p>
      <w:pPr>
        <w:pStyle w:val="4"/>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2018年度收入总计</w:t>
      </w:r>
      <w:r>
        <w:rPr>
          <w:rFonts w:hint="eastAsia" w:asciiTheme="minorEastAsia" w:hAnsiTheme="minorEastAsia" w:cstheme="minorEastAsia"/>
          <w:color w:val="373737"/>
          <w:sz w:val="28"/>
          <w:szCs w:val="28"/>
          <w:shd w:val="clear" w:color="auto" w:fill="FFFFFF"/>
          <w:lang w:val="en-US" w:eastAsia="zh-CN"/>
        </w:rPr>
        <w:t>1115</w:t>
      </w:r>
      <w:r>
        <w:rPr>
          <w:rFonts w:hint="eastAsia" w:asciiTheme="minorEastAsia" w:hAnsiTheme="minorEastAsia" w:cstheme="minorEastAsia"/>
          <w:color w:val="373737"/>
          <w:sz w:val="28"/>
          <w:szCs w:val="28"/>
          <w:shd w:val="clear" w:color="auto" w:fill="FFFFFF"/>
        </w:rPr>
        <w:t>万元，支出总计</w:t>
      </w:r>
      <w:r>
        <w:rPr>
          <w:rFonts w:hint="eastAsia" w:asciiTheme="minorEastAsia" w:hAnsiTheme="minorEastAsia" w:cstheme="minorEastAsia"/>
          <w:color w:val="373737"/>
          <w:sz w:val="28"/>
          <w:szCs w:val="28"/>
          <w:shd w:val="clear" w:color="auto" w:fill="FFFFFF"/>
          <w:lang w:val="en-US" w:eastAsia="zh-CN"/>
        </w:rPr>
        <w:t>1096</w:t>
      </w:r>
      <w:r>
        <w:rPr>
          <w:rFonts w:hint="eastAsia" w:asciiTheme="minorEastAsia" w:hAnsiTheme="minorEastAsia" w:cstheme="minorEastAsia"/>
          <w:color w:val="373737"/>
          <w:sz w:val="28"/>
          <w:szCs w:val="28"/>
          <w:shd w:val="clear" w:color="auto" w:fill="FFFFFF"/>
        </w:rPr>
        <w:t>万元，与上年相比，收入总计增加</w:t>
      </w:r>
      <w:r>
        <w:rPr>
          <w:rFonts w:hint="eastAsia" w:asciiTheme="minorEastAsia" w:hAnsiTheme="minorEastAsia" w:cstheme="minorEastAsia"/>
          <w:color w:val="373737"/>
          <w:sz w:val="28"/>
          <w:szCs w:val="28"/>
          <w:shd w:val="clear" w:color="auto" w:fill="FFFFFF"/>
          <w:lang w:val="en-US" w:eastAsia="zh-CN"/>
        </w:rPr>
        <w:t>(减少4</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w:t>
      </w:r>
      <w:r>
        <w:rPr>
          <w:rFonts w:hint="eastAsia"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-0.3%</w:t>
      </w:r>
      <w:r>
        <w:rPr>
          <w:rFonts w:hint="eastAsia" w:asciiTheme="minorEastAsia" w:hAnsiTheme="minorEastAsia" w:cstheme="minorEastAsia"/>
          <w:color w:val="373737"/>
          <w:sz w:val="28"/>
          <w:szCs w:val="28"/>
          <w:shd w:val="clear" w:color="auto" w:fill="FFFFFF"/>
          <w:lang w:eastAsia="zh-CN"/>
        </w:rPr>
        <w:t>）</w:t>
      </w:r>
      <w:r>
        <w:rPr>
          <w:rFonts w:hint="eastAsia" w:asciiTheme="minorEastAsia" w:hAnsiTheme="minorEastAsia" w:cstheme="minorEastAsia"/>
          <w:color w:val="373737"/>
          <w:sz w:val="28"/>
          <w:szCs w:val="28"/>
          <w:shd w:val="clear" w:color="auto" w:fill="FFFFFF"/>
        </w:rPr>
        <w:t>增长%；支出总计增加万元，增长%。</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二、 2018年度收入决算情况说明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本年收入合计</w:t>
      </w:r>
      <w:r>
        <w:rPr>
          <w:rFonts w:hint="eastAsia" w:asciiTheme="minorEastAsia" w:hAnsiTheme="minorEastAsia" w:cstheme="minorEastAsia"/>
          <w:color w:val="373737"/>
          <w:sz w:val="28"/>
          <w:szCs w:val="28"/>
          <w:shd w:val="clear" w:color="auto" w:fill="FFFFFF"/>
          <w:lang w:val="en-US" w:eastAsia="zh-CN"/>
        </w:rPr>
        <w:t>1115</w:t>
      </w:r>
      <w:r>
        <w:rPr>
          <w:rFonts w:hint="eastAsia" w:asciiTheme="minorEastAsia" w:hAnsiTheme="minorEastAsia" w:cstheme="minorEastAsia"/>
          <w:color w:val="373737"/>
          <w:sz w:val="28"/>
          <w:szCs w:val="28"/>
          <w:shd w:val="clear" w:color="auto" w:fill="FFFFFF"/>
        </w:rPr>
        <w:t>万元，其中：财政拨款收入</w:t>
      </w:r>
      <w:r>
        <w:rPr>
          <w:rFonts w:hint="eastAsia" w:asciiTheme="minorEastAsia" w:hAnsiTheme="minorEastAsia" w:cstheme="minorEastAsia"/>
          <w:color w:val="373737"/>
          <w:sz w:val="28"/>
          <w:szCs w:val="28"/>
          <w:shd w:val="clear" w:color="auto" w:fill="FFFFFF"/>
          <w:lang w:val="en-US" w:eastAsia="zh-CN"/>
        </w:rPr>
        <w:t>1067</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95</w:t>
      </w:r>
      <w:r>
        <w:rPr>
          <w:rFonts w:hint="eastAsia" w:asciiTheme="minorEastAsia" w:hAnsiTheme="minorEastAsia" w:cstheme="minorEastAsia"/>
          <w:color w:val="373737"/>
          <w:sz w:val="28"/>
          <w:szCs w:val="28"/>
          <w:shd w:val="clear" w:color="auto" w:fill="FFFFFF"/>
        </w:rPr>
        <w:t>%；其他收入</w:t>
      </w:r>
      <w:r>
        <w:rPr>
          <w:rFonts w:hint="eastAsia" w:asciiTheme="minorEastAsia" w:hAnsiTheme="minorEastAsia" w:cstheme="minorEastAsia"/>
          <w:color w:val="373737"/>
          <w:sz w:val="28"/>
          <w:szCs w:val="28"/>
          <w:shd w:val="clear" w:color="auto" w:fill="FFFFFF"/>
          <w:lang w:val="en-US" w:eastAsia="zh-CN"/>
        </w:rPr>
        <w:t>48</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5</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三、2018年度支出决算情况说明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本年支出合计</w:t>
      </w:r>
      <w:r>
        <w:rPr>
          <w:rFonts w:hint="eastAsia" w:asciiTheme="minorEastAsia" w:hAnsiTheme="minorEastAsia" w:cstheme="minorEastAsia"/>
          <w:color w:val="373737"/>
          <w:sz w:val="28"/>
          <w:szCs w:val="28"/>
          <w:shd w:val="clear" w:color="auto" w:fill="FFFFFF"/>
          <w:lang w:val="en-US" w:eastAsia="zh-CN"/>
        </w:rPr>
        <w:t>1096</w:t>
      </w:r>
      <w:r>
        <w:rPr>
          <w:rFonts w:hint="eastAsia" w:asciiTheme="minorEastAsia" w:hAnsiTheme="minorEastAsia" w:cstheme="minorEastAsia"/>
          <w:color w:val="373737"/>
          <w:sz w:val="28"/>
          <w:szCs w:val="28"/>
          <w:shd w:val="clear" w:color="auto" w:fill="FFFFFF"/>
        </w:rPr>
        <w:t>万元，其中：基本支出</w:t>
      </w:r>
      <w:r>
        <w:rPr>
          <w:rFonts w:hint="eastAsia" w:asciiTheme="minorEastAsia" w:hAnsiTheme="minorEastAsia" w:cstheme="minorEastAsia"/>
          <w:color w:val="373737"/>
          <w:sz w:val="28"/>
          <w:szCs w:val="28"/>
          <w:shd w:val="clear" w:color="auto" w:fill="FFFFFF"/>
          <w:lang w:val="en-US" w:eastAsia="zh-CN"/>
        </w:rPr>
        <w:t>1090</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99</w:t>
      </w:r>
      <w:r>
        <w:rPr>
          <w:rFonts w:hint="eastAsia" w:asciiTheme="minorEastAsia" w:hAnsiTheme="minorEastAsia" w:cstheme="minorEastAsia"/>
          <w:color w:val="373737"/>
          <w:sz w:val="28"/>
          <w:szCs w:val="28"/>
          <w:shd w:val="clear" w:color="auto" w:fill="FFFFFF"/>
        </w:rPr>
        <w:t>%；项目支出</w:t>
      </w:r>
      <w:r>
        <w:rPr>
          <w:rFonts w:hint="eastAsia" w:asciiTheme="minorEastAsia" w:hAnsiTheme="minorEastAsia" w:cstheme="minorEastAsia"/>
          <w:color w:val="373737"/>
          <w:sz w:val="28"/>
          <w:szCs w:val="28"/>
          <w:shd w:val="clear" w:color="auto" w:fill="FFFFFF"/>
          <w:lang w:val="en-US" w:eastAsia="zh-CN"/>
        </w:rPr>
        <w:t>6</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1</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四、2018年度财政拨款收入支出决算总体情况说明</w:t>
      </w:r>
    </w:p>
    <w:p>
      <w:pPr>
        <w:pStyle w:val="4"/>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2018年度财政拨款收入</w:t>
      </w:r>
      <w:r>
        <w:rPr>
          <w:rFonts w:hint="eastAsia" w:asciiTheme="minorEastAsia" w:hAnsiTheme="minorEastAsia" w:cstheme="minorEastAsia"/>
          <w:color w:val="373737"/>
          <w:sz w:val="28"/>
          <w:szCs w:val="28"/>
          <w:shd w:val="clear" w:color="auto" w:fill="FFFFFF"/>
          <w:lang w:val="en-US" w:eastAsia="zh-CN"/>
        </w:rPr>
        <w:t>1067</w:t>
      </w:r>
      <w:r>
        <w:rPr>
          <w:rFonts w:hint="eastAsia" w:asciiTheme="minorEastAsia" w:hAnsiTheme="minorEastAsia" w:cstheme="minorEastAsia"/>
          <w:color w:val="373737"/>
          <w:sz w:val="28"/>
          <w:szCs w:val="28"/>
          <w:shd w:val="clear" w:color="auto" w:fill="FFFFFF"/>
        </w:rPr>
        <w:t>万元，与上年相比，</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4万元减少0.3%，</w:t>
      </w:r>
      <w:r>
        <w:rPr>
          <w:rFonts w:hint="eastAsia" w:asciiTheme="minorEastAsia" w:hAnsiTheme="minorEastAsia" w:cstheme="minorEastAsia"/>
          <w:color w:val="373737"/>
          <w:sz w:val="28"/>
          <w:szCs w:val="28"/>
          <w:shd w:val="clear" w:color="auto" w:fill="FFFFFF"/>
        </w:rPr>
        <w:t>增加</w:t>
      </w:r>
      <w:r>
        <w:rPr>
          <w:rFonts w:hint="eastAsia" w:asciiTheme="minorEastAsia" w:hAnsiTheme="minorEastAsia" w:cstheme="minorEastAsia"/>
          <w:color w:val="373737"/>
          <w:sz w:val="28"/>
          <w:szCs w:val="28"/>
          <w:shd w:val="clear" w:color="auto" w:fill="FFFFFF"/>
          <w:lang w:eastAsia="zh-CN"/>
        </w:rPr>
        <w:t>万元</w:t>
      </w:r>
      <w:r>
        <w:rPr>
          <w:rFonts w:hint="eastAsia" w:asciiTheme="minorEastAsia" w:hAnsiTheme="minorEastAsia" w:cstheme="minorEastAsia"/>
          <w:color w:val="373737"/>
          <w:sz w:val="28"/>
          <w:szCs w:val="28"/>
          <w:shd w:val="clear" w:color="auto" w:fill="FFFFFF"/>
        </w:rPr>
        <w:t>，增长%；2018年度财政拨款支出</w:t>
      </w:r>
      <w:r>
        <w:rPr>
          <w:rFonts w:hint="eastAsia" w:asciiTheme="minorEastAsia" w:hAnsiTheme="minorEastAsia" w:cstheme="minorEastAsia"/>
          <w:color w:val="373737"/>
          <w:sz w:val="28"/>
          <w:szCs w:val="28"/>
          <w:shd w:val="clear" w:color="auto" w:fill="FFFFFF"/>
          <w:lang w:val="en-US" w:eastAsia="zh-CN"/>
        </w:rPr>
        <w:t>1067</w:t>
      </w:r>
      <w:r>
        <w:rPr>
          <w:rFonts w:hint="eastAsia" w:asciiTheme="minorEastAsia" w:hAnsiTheme="minorEastAsia" w:cstheme="minorEastAsia"/>
          <w:color w:val="373737"/>
          <w:sz w:val="28"/>
          <w:szCs w:val="28"/>
          <w:shd w:val="clear" w:color="auto" w:fill="FFFFFF"/>
        </w:rPr>
        <w:t>万元，与上年相比</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4万元</w:t>
      </w:r>
      <w:r>
        <w:rPr>
          <w:rFonts w:hint="eastAsia"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0.3%，</w:t>
      </w:r>
      <w:r>
        <w:rPr>
          <w:rFonts w:hint="eastAsia" w:asciiTheme="minorEastAsia" w:hAnsiTheme="minorEastAsia" w:cstheme="minorEastAsia"/>
          <w:color w:val="373737"/>
          <w:sz w:val="28"/>
          <w:szCs w:val="28"/>
          <w:shd w:val="clear" w:color="auto" w:fill="FFFFFF"/>
        </w:rPr>
        <w:t>增加万元，增长%。</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五、2018年度一般公共预算财政拨款支出决算情况说明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（一）财政拨款支出决算总体情况。</w:t>
      </w:r>
    </w:p>
    <w:p>
      <w:pPr>
        <w:pStyle w:val="4"/>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1067</w:t>
      </w:r>
      <w:r>
        <w:rPr>
          <w:rFonts w:hint="eastAsia" w:asciiTheme="minorEastAsia" w:hAnsiTheme="minorEastAsia" w:cstheme="minorEastAsia"/>
          <w:color w:val="373737"/>
          <w:sz w:val="28"/>
          <w:szCs w:val="28"/>
          <w:shd w:val="clear" w:color="auto" w:fill="FFFFFF"/>
        </w:rPr>
        <w:t>万元，占本年支出合计的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%。与上年相比</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4万元</w:t>
      </w:r>
      <w:r>
        <w:rPr>
          <w:rFonts w:hint="eastAsia" w:asciiTheme="minorEastAsia" w:hAnsiTheme="minorEastAsia" w:cstheme="minorEastAsia"/>
          <w:color w:val="373737"/>
          <w:sz w:val="28"/>
          <w:szCs w:val="28"/>
          <w:shd w:val="clear" w:color="auto" w:fill="FFFFFF"/>
        </w:rPr>
        <w:t>，财政拨款支出</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4万元减少0.3%</w:t>
      </w:r>
      <w:r>
        <w:rPr>
          <w:rFonts w:hint="eastAsia" w:asciiTheme="minorEastAsia" w:hAnsiTheme="minorEastAsia" w:cstheme="minorEastAsia"/>
          <w:color w:val="373737"/>
          <w:sz w:val="28"/>
          <w:szCs w:val="28"/>
          <w:shd w:val="clear" w:color="auto" w:fill="FFFFFF"/>
        </w:rPr>
        <w:t>增加万元，增长%。</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（二）财政拨款支出决算结构情况。</w:t>
      </w:r>
    </w:p>
    <w:p>
      <w:pPr>
        <w:pStyle w:val="4"/>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1067</w:t>
      </w:r>
      <w:r>
        <w:rPr>
          <w:rFonts w:hint="eastAsia" w:asciiTheme="minorEastAsia" w:hAnsiTheme="minorEastAsia" w:cstheme="minorEastAsia"/>
          <w:color w:val="373737"/>
          <w:sz w:val="28"/>
          <w:szCs w:val="28"/>
          <w:shd w:val="clear" w:color="auto" w:fill="FFFFFF"/>
        </w:rPr>
        <w:t>万元，主要用于以下方面：</w:t>
      </w:r>
      <w:r>
        <w:rPr>
          <w:rStyle w:val="6"/>
          <w:rFonts w:hint="eastAsia" w:asciiTheme="minorEastAsia" w:hAnsiTheme="minorEastAsia" w:cstheme="minorEastAsia"/>
          <w:color w:val="373737"/>
          <w:sz w:val="28"/>
          <w:szCs w:val="28"/>
          <w:shd w:val="clear" w:color="auto" w:fill="FFFFFF"/>
        </w:rPr>
        <w:t>社会保障和就业（类）</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73</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6</w:t>
      </w:r>
      <w:r>
        <w:rPr>
          <w:rFonts w:hint="eastAsia" w:asciiTheme="minorEastAsia" w:hAnsiTheme="minorEastAsia" w:cstheme="minorEastAsia"/>
          <w:color w:val="373737"/>
          <w:sz w:val="28"/>
          <w:szCs w:val="28"/>
          <w:shd w:val="clear" w:color="auto" w:fill="FFFFFF"/>
        </w:rPr>
        <w:t>%；</w:t>
      </w:r>
      <w:r>
        <w:rPr>
          <w:rStyle w:val="6"/>
          <w:rFonts w:hint="eastAsia" w:asciiTheme="minorEastAsia" w:hAnsiTheme="minorEastAsia" w:cstheme="minorEastAsia"/>
          <w:color w:val="373737"/>
          <w:sz w:val="28"/>
          <w:szCs w:val="28"/>
          <w:shd w:val="clear" w:color="auto" w:fill="FFFFFF"/>
        </w:rPr>
        <w:t>医疗卫生与计划生育（类）</w:t>
      </w:r>
      <w:r>
        <w:rPr>
          <w:rFonts w:hint="eastAsia" w:asciiTheme="minorEastAsia" w:hAnsiTheme="minorEastAsia" w:cstheme="minorEastAsia"/>
          <w:color w:val="373737"/>
          <w:sz w:val="28"/>
          <w:szCs w:val="28"/>
          <w:shd w:val="clear" w:color="auto" w:fill="FFFFFF"/>
        </w:rPr>
        <w:t>支出万元，占%；</w:t>
      </w:r>
      <w:r>
        <w:rPr>
          <w:rStyle w:val="6"/>
          <w:rFonts w:hint="eastAsia" w:asciiTheme="minorEastAsia" w:hAnsiTheme="minorEastAsia" w:cstheme="minorEastAsia"/>
          <w:color w:val="373737"/>
          <w:sz w:val="28"/>
          <w:szCs w:val="28"/>
          <w:shd w:val="clear" w:color="auto" w:fill="FFFFFF"/>
        </w:rPr>
        <w:t>农林水（类）</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6</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0.5</w:t>
      </w:r>
      <w:r>
        <w:rPr>
          <w:rFonts w:hint="eastAsia" w:asciiTheme="minorEastAsia" w:hAnsiTheme="minorEastAsia" w:cstheme="minorEastAsia"/>
          <w:color w:val="373737"/>
          <w:sz w:val="28"/>
          <w:szCs w:val="28"/>
          <w:shd w:val="clear" w:color="auto" w:fill="FFFFFF"/>
        </w:rPr>
        <w:t>%；</w:t>
      </w:r>
      <w:r>
        <w:rPr>
          <w:rStyle w:val="6"/>
          <w:rFonts w:hint="eastAsia" w:asciiTheme="minorEastAsia" w:hAnsiTheme="minorEastAsia" w:cstheme="minorEastAsia"/>
          <w:color w:val="373737"/>
          <w:sz w:val="28"/>
          <w:szCs w:val="28"/>
          <w:shd w:val="clear" w:color="auto" w:fill="FFFFFF"/>
        </w:rPr>
        <w:t>住房保障（类）</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41</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4</w:t>
      </w:r>
      <w:r>
        <w:rPr>
          <w:rFonts w:hint="eastAsia" w:asciiTheme="minorEastAsia" w:hAnsiTheme="minorEastAsia" w:cstheme="minorEastAsia"/>
          <w:color w:val="373737"/>
          <w:sz w:val="28"/>
          <w:szCs w:val="28"/>
          <w:shd w:val="clear" w:color="auto" w:fill="FFFFFF"/>
        </w:rPr>
        <w:t>%。（根据单位实际科目）</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（三）财政拨款支出决算具体情况。（根据单位实际科目）</w:t>
      </w:r>
    </w:p>
    <w:p>
      <w:pPr>
        <w:pStyle w:val="4"/>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2018年度财政拨款支出年初预算为</w:t>
      </w:r>
      <w:r>
        <w:rPr>
          <w:rFonts w:hint="eastAsia" w:asciiTheme="minorEastAsia" w:hAnsiTheme="minorEastAsia" w:cstheme="minorEastAsia"/>
          <w:color w:val="373737"/>
          <w:sz w:val="28"/>
          <w:szCs w:val="28"/>
          <w:shd w:val="clear" w:color="auto" w:fill="FFFFFF"/>
          <w:lang w:val="en-US" w:eastAsia="zh-CN"/>
        </w:rPr>
        <w:t>1067</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1067</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决算数大于预算数；二是2017年增加了行政管理事务等项目资金。其中：</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1. 社会保障和就业（类）行政事业单位离退休（款）未归口管理的行政单位离退休（项）。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73</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73</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%。决算数大于预算数的主要原因是2018年离退休职工工资增长了。</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2. 医疗卫生和计划生育（类）医疗保障（款）行政单位医疗（项）。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50</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50</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%。决算数大于预算数的主要原因在职职工增长了工资，使医疗保险的缴交比例增加了。</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3. 农林水（类）农业（款）行政运行（项）。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6</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%。决算数大于预算数的主要原因是2018年增加了行政管理事务等项目资金。</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4. 住房保障（类）住房改革支出（款）住房公积金（项）。</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41</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41</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%。决算数大于预算数的主要原因是2018年在职职工增长了工资，使住房公积金的缴交比例增加了。</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pPr>
        <w:pStyle w:val="4"/>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六、2018年度一般公共预算财政拨款基本支出决算情况说明。</w:t>
      </w:r>
    </w:p>
    <w:p>
      <w:pPr>
        <w:pStyle w:val="4"/>
        <w:widowControl/>
        <w:shd w:val="clear" w:color="auto" w:fill="FFFFFF"/>
        <w:spacing w:beforeAutospacing="0" w:after="225" w:afterAutospacing="0"/>
        <w:ind w:right="105" w:firstLine="645"/>
        <w:textAlignment w:val="baseline"/>
        <w:rPr>
          <w:rFonts w:hint="eastAsia" w:asciiTheme="minorEastAsia" w:hAnsiTheme="minorEastAsia" w:eastAsiaTheme="minorEastAsia" w:cstheme="minorEastAsia"/>
          <w:color w:val="333333"/>
          <w:sz w:val="28"/>
          <w:szCs w:val="28"/>
          <w:lang w:val="en-US" w:eastAsia="zh-CN"/>
        </w:rPr>
      </w:pPr>
      <w:r>
        <w:rPr>
          <w:rFonts w:hint="eastAsia" w:asciiTheme="minorEastAsia" w:hAnsiTheme="minorEastAsia" w:cstheme="minorEastAsia"/>
          <w:color w:val="373737"/>
          <w:sz w:val="28"/>
          <w:szCs w:val="28"/>
          <w:shd w:val="clear" w:color="auto" w:fill="FFFFFF"/>
        </w:rPr>
        <w:t>201</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年度财政拨款基本支出</w:t>
      </w:r>
      <w:r>
        <w:rPr>
          <w:rFonts w:hint="eastAsia" w:asciiTheme="minorEastAsia" w:hAnsiTheme="minorEastAsia" w:cstheme="minorEastAsia"/>
          <w:color w:val="373737"/>
          <w:sz w:val="28"/>
          <w:szCs w:val="28"/>
          <w:shd w:val="clear" w:color="auto" w:fill="FFFFFF"/>
          <w:lang w:val="en-US" w:eastAsia="zh-CN"/>
        </w:rPr>
        <w:t>1067</w:t>
      </w:r>
      <w:r>
        <w:rPr>
          <w:rFonts w:hint="eastAsia" w:asciiTheme="minorEastAsia" w:hAnsiTheme="minorEastAsia" w:cstheme="minorEastAsia"/>
          <w:color w:val="373737"/>
          <w:sz w:val="28"/>
          <w:szCs w:val="28"/>
          <w:shd w:val="clear" w:color="auto" w:fill="FFFFFF"/>
        </w:rPr>
        <w:t>万元，其中：人员经费</w:t>
      </w:r>
      <w:r>
        <w:rPr>
          <w:rFonts w:hint="eastAsia" w:asciiTheme="minorEastAsia" w:hAnsiTheme="minorEastAsia" w:cstheme="minorEastAsia"/>
          <w:color w:val="373737"/>
          <w:sz w:val="28"/>
          <w:szCs w:val="28"/>
          <w:shd w:val="clear" w:color="auto" w:fill="FFFFFF"/>
          <w:lang w:val="en-US" w:eastAsia="zh-CN"/>
        </w:rPr>
        <w:t>956</w:t>
      </w:r>
      <w:r>
        <w:rPr>
          <w:rFonts w:hint="eastAsia" w:asciiTheme="minorEastAsia" w:hAnsiTheme="minorEastAsia" w:cstheme="minor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color w:val="373737"/>
          <w:sz w:val="28"/>
          <w:szCs w:val="28"/>
          <w:shd w:val="clear" w:color="auto" w:fill="FFFFFF"/>
          <w:lang w:val="en-US" w:eastAsia="zh-CN"/>
        </w:rPr>
        <w:t>87</w:t>
      </w:r>
      <w:r>
        <w:rPr>
          <w:rFonts w:hint="eastAsia" w:asciiTheme="minorEastAsia" w:hAnsiTheme="minorEastAsia" w:cstheme="minor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r>
        <w:rPr>
          <w:rFonts w:hint="eastAsia" w:asciiTheme="minorEastAsia" w:hAnsiTheme="minorEastAsia" w:cstheme="minorEastAsia"/>
          <w:color w:val="373737"/>
          <w:sz w:val="28"/>
          <w:szCs w:val="28"/>
          <w:shd w:val="clear" w:color="auto" w:fill="FFFFFF"/>
          <w:lang w:eastAsia="zh-CN"/>
        </w:rPr>
        <w:t>农林水项目支出</w:t>
      </w:r>
      <w:r>
        <w:rPr>
          <w:rFonts w:hint="eastAsia" w:asciiTheme="minorEastAsia" w:hAnsiTheme="minorEastAsia" w:cstheme="minorEastAsia"/>
          <w:color w:val="373737"/>
          <w:sz w:val="28"/>
          <w:szCs w:val="28"/>
          <w:shd w:val="clear" w:color="auto" w:fill="FFFFFF"/>
          <w:lang w:val="en-US" w:eastAsia="zh-CN"/>
        </w:rPr>
        <w:t>6万元。年末基本支出结转18万元。</w:t>
      </w:r>
    </w:p>
    <w:p>
      <w:pPr>
        <w:pStyle w:val="4"/>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七、2018年度一般公共预算财政拨款“三公”经费支出决算情况说明</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（一）“三公”经费财政拨款支出决算总体情况说明。</w:t>
      </w:r>
    </w:p>
    <w:p>
      <w:pPr>
        <w:pStyle w:val="4"/>
        <w:widowControl/>
        <w:shd w:val="clear" w:color="auto" w:fill="FFFFFF"/>
        <w:spacing w:beforeAutospacing="0" w:after="225" w:afterAutospacing="0"/>
        <w:ind w:left="279" w:leftChars="133" w:firstLine="579" w:firstLineChars="207"/>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预算为万元，支出决算为万元，完成预算的%，其中：因公出国（境）费支出决算为万元，完成预算的%；公务用车购置及运行费支出决算为万元，完成预算的%；公务接待费支出决算为万元，完成预算的%。2018年度“三公”经费支出决算数与预算数持平。</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数比上年增减少万元，减少%，公务用车购置及运行费支出决算0万元，减少%，原因为：部门严格执行三公经费缩减，车改后车辆上交；公务接待费支出决算0万元，增长%，原因为：严格按照上级标准，缩减公务接待开支。</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（二）“三公”经费财政拨款支出决算具体情况说明。</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2018年度“三公”经费财政拨款支出决算中，因公出国（境）费支出决算万元，占%；公务用车购置及运行费支出决算万元，占%；公务接待费支出决算万元，占%。</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1.因公出国（境）费</w:t>
      </w:r>
      <w:r>
        <w:rPr>
          <w:rFonts w:hint="eastAsia" w:asciiTheme="minorEastAsia" w:hAnsiTheme="minorEastAsia" w:cstheme="minorEastAsia"/>
          <w:color w:val="373737"/>
          <w:sz w:val="28"/>
          <w:szCs w:val="28"/>
          <w:shd w:val="clear" w:color="auto" w:fill="FFFFFF"/>
        </w:rPr>
        <w:t>支出</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万元。全年安排因公出国</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（境）团组0个，累计0人次。开支内容包括：出国人员差旅费0万元。</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2.公务用车购置及运行费</w:t>
      </w:r>
      <w:r>
        <w:rPr>
          <w:rFonts w:hint="eastAsia" w:asciiTheme="minorEastAsia" w:hAnsiTheme="minorEastAsia" w:cstheme="minorEastAsia"/>
          <w:color w:val="373737"/>
          <w:sz w:val="28"/>
          <w:szCs w:val="28"/>
          <w:shd w:val="clear" w:color="auto" w:fill="FFFFFF"/>
        </w:rPr>
        <w:t>支出</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w:t>
      </w:r>
      <w:r>
        <w:rPr>
          <w:rStyle w:val="6"/>
          <w:rFonts w:hint="eastAsia" w:asciiTheme="minorEastAsia" w:hAnsiTheme="minorEastAsia" w:cstheme="minorEastAsia"/>
          <w:color w:val="373737"/>
          <w:sz w:val="28"/>
          <w:szCs w:val="28"/>
          <w:shd w:val="clear" w:color="auto" w:fill="FFFFFF"/>
        </w:rPr>
        <w:t>公务用车购置</w:t>
      </w:r>
      <w:r>
        <w:rPr>
          <w:rFonts w:hint="eastAsia" w:asciiTheme="minorEastAsia" w:hAnsiTheme="minorEastAsia" w:cstheme="minorEastAsia"/>
          <w:color w:val="373737"/>
          <w:sz w:val="28"/>
          <w:szCs w:val="28"/>
          <w:shd w:val="clear" w:color="auto" w:fill="FFFFFF"/>
        </w:rPr>
        <w:t>支出为</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6"/>
          <w:rFonts w:hint="eastAsia" w:asciiTheme="minorEastAsia" w:hAnsiTheme="minorEastAsia" w:cstheme="minorEastAsia"/>
          <w:color w:val="373737"/>
          <w:sz w:val="28"/>
          <w:szCs w:val="28"/>
          <w:shd w:val="clear" w:color="auto" w:fill="FFFFFF"/>
        </w:rPr>
        <w:t>公务用车运行</w:t>
      </w:r>
      <w:r>
        <w:rPr>
          <w:rFonts w:hint="eastAsia" w:asciiTheme="minorEastAsia" w:hAnsiTheme="minorEastAsia" w:cstheme="minorEastAsia"/>
          <w:color w:val="373737"/>
          <w:sz w:val="28"/>
          <w:szCs w:val="28"/>
          <w:shd w:val="clear" w:color="auto" w:fill="FFFFFF"/>
        </w:rPr>
        <w:t>支出</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6"/>
          <w:rFonts w:hint="eastAsia" w:asciiTheme="minorEastAsia" w:hAnsiTheme="minorEastAsia" w:cstheme="minorEastAsia"/>
          <w:color w:val="373737"/>
          <w:sz w:val="28"/>
          <w:szCs w:val="28"/>
          <w:shd w:val="clear" w:color="auto" w:fill="FFFFFF"/>
        </w:rPr>
        <w:t>公务用车保有量0</w:t>
      </w:r>
      <w:r>
        <w:rPr>
          <w:rFonts w:hint="eastAsia" w:asciiTheme="minorEastAsia" w:hAnsiTheme="minorEastAsia" w:cstheme="minorEastAsia"/>
          <w:color w:val="373737"/>
          <w:sz w:val="28"/>
          <w:szCs w:val="28"/>
          <w:shd w:val="clear" w:color="auto" w:fill="FFFFFF"/>
        </w:rPr>
        <w:t>台。</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3.公务接待费</w:t>
      </w:r>
      <w:r>
        <w:rPr>
          <w:rFonts w:hint="eastAsia" w:asciiTheme="minorEastAsia" w:hAnsiTheme="minorEastAsia" w:cstheme="minorEastAsia"/>
          <w:color w:val="373737"/>
          <w:sz w:val="28"/>
          <w:szCs w:val="28"/>
          <w:shd w:val="clear" w:color="auto" w:fill="FFFFFF"/>
        </w:rPr>
        <w:t>支出</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万元。其中：国内公务接待</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万元，国内公务接待批次</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个，国内公务接待人次</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人；国（境）外公务接待</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万元，国（境）外公务接待批次</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个，国（境）外公务接待人次</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八、其他重要事项的情况说明</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（一）机关运行经费支出情况。</w:t>
      </w:r>
    </w:p>
    <w:p>
      <w:pPr>
        <w:pStyle w:val="4"/>
        <w:widowControl/>
        <w:spacing w:before="180" w:beforeAutospacing="0" w:after="360" w:afterAutospacing="0" w:line="450" w:lineRule="atLeast"/>
        <w:ind w:firstLine="848"/>
        <w:rPr>
          <w:rFonts w:asciiTheme="minorEastAsia" w:hAnsiTheme="minorEastAsia" w:cstheme="minorEastAsia"/>
          <w:sz w:val="28"/>
          <w:szCs w:val="28"/>
        </w:rPr>
      </w:pPr>
      <w:r>
        <w:rPr>
          <w:rFonts w:hint="eastAsia" w:asciiTheme="minorEastAsia" w:hAnsiTheme="minorEastAsia" w:cstheme="minorEastAsia"/>
          <w:color w:val="333333"/>
          <w:sz w:val="28"/>
          <w:szCs w:val="28"/>
        </w:rPr>
        <w:t>本部门 2018年度机关运行经费支出 XX 万元（与部门决算中行政单位和参照公务员法管理事业单位一般公共预算财政拨款基本支出中公用经费之和保持一致），比上年增加（减少）XX 万元，增长（降低）XX%。主要原因是：……（具体增减原因由部门根据实际情况填列）。</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（二）政府采购支出情况。</w:t>
      </w:r>
    </w:p>
    <w:p>
      <w:pPr>
        <w:pStyle w:val="4"/>
        <w:widowControl/>
        <w:spacing w:before="180" w:beforeAutospacing="0" w:after="360" w:afterAutospacing="0" w:line="450" w:lineRule="atLeast"/>
        <w:ind w:firstLine="800"/>
        <w:rPr>
          <w:rFonts w:asciiTheme="minorEastAsia" w:hAnsiTheme="minorEastAsia" w:cstheme="minorEastAsia"/>
          <w:sz w:val="28"/>
          <w:szCs w:val="28"/>
        </w:rPr>
      </w:pPr>
      <w:r>
        <w:rPr>
          <w:rFonts w:hint="eastAsia" w:asciiTheme="minorEastAsia" w:hAnsiTheme="minorEastAsia" w:cstheme="minorEastAsia"/>
          <w:color w:val="333333"/>
          <w:sz w:val="28"/>
          <w:szCs w:val="28"/>
        </w:rPr>
        <w:t>2017年度政府采购支出总额 万元，其中：政府采购货物支出万元、政府采购工程支出 万元、政府采购服务支出万元。</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（三）国有资产占用情况。</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截至 2018年 12 月 31 日，本部门共有车辆辆，其中，一般公务用车 0 辆、一般执法执勤用辆、特种专业技术用车辆、其他用车辆，其他用车主要是办案用车；单位价值 50 万万元以上通用设备台（套），单价100 万万元以上专用设备 台（套）。</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（四）2018年度预算绩效情况说明</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根据财政预算管理要求和年初设定的绩效目标，我单位组织对 2018年度项目支出全面开展绩效自评。共涉及资金万元，自评覆盖率达到100%。共组织对“xxx”等 7 个项目进行了绩效评价，共涉及资金万元。从评价情况来看，本部门共开展了XXXXXX进行了绩效考核。</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第三部分 名词解释</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一、财政拨款收入</w:t>
      </w:r>
      <w:r>
        <w:rPr>
          <w:rFonts w:hint="eastAsia" w:asciiTheme="minorEastAsia" w:hAnsiTheme="minorEastAsia" w:cstheme="minorEastAsia"/>
          <w:color w:val="333333"/>
          <w:sz w:val="28"/>
          <w:szCs w:val="28"/>
        </w:rPr>
        <w:t>：指县级财政当年拨付的资金。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二、事业收入</w:t>
      </w:r>
      <w:r>
        <w:rPr>
          <w:rFonts w:hint="eastAsia" w:asciiTheme="minorEastAsia" w:hAnsiTheme="minorEastAsia" w:cstheme="minorEastAsia"/>
          <w:color w:val="333333"/>
          <w:sz w:val="28"/>
          <w:szCs w:val="28"/>
        </w:rPr>
        <w:t>：指事业单位开展专业业务活动及辅助活动所取得的收入。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三、经营收入</w:t>
      </w:r>
      <w:r>
        <w:rPr>
          <w:rFonts w:hint="eastAsia" w:asciiTheme="minorEastAsia" w:hAnsiTheme="minorEastAsia" w:cstheme="minorEastAsia"/>
          <w:color w:val="333333"/>
          <w:sz w:val="28"/>
          <w:szCs w:val="28"/>
        </w:rPr>
        <w:t>：指事业单位在专业业务活动及其辅助活动之外开展非独立核算经营活动取得的收入。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四、其他收入</w:t>
      </w:r>
      <w:r>
        <w:rPr>
          <w:rFonts w:hint="eastAsia" w:asciiTheme="minorEastAsia" w:hAnsiTheme="minorEastAsia" w:cstheme="minorEastAsia"/>
          <w:color w:val="333333"/>
          <w:sz w:val="28"/>
          <w:szCs w:val="28"/>
        </w:rPr>
        <w:t>：指除上述“财政拨款收入”、“事业收入”、“经营收入”等以外的收入。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五、用事业基金弥补收支差额</w:t>
      </w:r>
      <w:r>
        <w:rPr>
          <w:rFonts w:hint="eastAsia" w:asciiTheme="minorEastAsia" w:hAnsi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六、年初结转和结余</w:t>
      </w:r>
      <w:r>
        <w:rPr>
          <w:rFonts w:hint="eastAsia" w:asciiTheme="minorEastAsia" w:hAnsiTheme="minorEastAsia" w:cstheme="minorEastAsia"/>
          <w:color w:val="333333"/>
          <w:sz w:val="28"/>
          <w:szCs w:val="28"/>
        </w:rPr>
        <w:t>：指以前年度尚未完成、结转到本年按有关规定继续使用的资金。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七、结余分配</w:t>
      </w:r>
      <w:r>
        <w:rPr>
          <w:rFonts w:hint="eastAsia" w:asciiTheme="minorEastAsia" w:hAnsiTheme="minorEastAsia" w:cstheme="minorEastAsia"/>
          <w:color w:val="333333"/>
          <w:sz w:val="28"/>
          <w:szCs w:val="28"/>
        </w:rPr>
        <w:t>：指事业单位按规定提取的职工福利基金、事业基金和缴纳的所得税，以及建设单位按规定应交回的基本建设竣工项目结余资金。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八、年末结转和结余</w:t>
      </w:r>
      <w:r>
        <w:rPr>
          <w:rFonts w:hint="eastAsia" w:asciiTheme="minorEastAsia" w:hAnsiTheme="minorEastAsia" w:cstheme="minorEastAsia"/>
          <w:color w:val="333333"/>
          <w:sz w:val="28"/>
          <w:szCs w:val="28"/>
        </w:rPr>
        <w:t>：指本年度或以前年度预算安排、因客观条件发生变化无法按原计划实施，需延迟到以后年度按有关规定继续使用的资金。</w:t>
      </w:r>
    </w:p>
    <w:p>
      <w:pPr>
        <w:pStyle w:val="4"/>
        <w:widowControl/>
        <w:spacing w:before="180" w:beforeAutospacing="0" w:after="360" w:afterAutospacing="0" w:line="450" w:lineRule="atLeast"/>
        <w:ind w:firstLine="899"/>
        <w:rPr>
          <w:rFonts w:asciiTheme="minorEastAsia" w:hAnsiTheme="minorEastAsia" w:cstheme="minorEastAsia"/>
          <w:sz w:val="28"/>
          <w:szCs w:val="28"/>
        </w:rPr>
      </w:pPr>
      <w:r>
        <w:rPr>
          <w:rFonts w:hint="eastAsia" w:asciiTheme="minorEastAsia" w:hAnsiTheme="minorEastAsia" w:cstheme="minorEastAsia"/>
          <w:b/>
          <w:color w:val="333333"/>
          <w:sz w:val="28"/>
          <w:szCs w:val="28"/>
        </w:rPr>
        <w:t>九、基本支出</w:t>
      </w:r>
      <w:r>
        <w:rPr>
          <w:rFonts w:hint="eastAsia" w:asciiTheme="minorEastAsia" w:hAnsiTheme="minorEastAsia" w:cstheme="minorEastAsia"/>
          <w:color w:val="333333"/>
          <w:sz w:val="28"/>
          <w:szCs w:val="28"/>
        </w:rPr>
        <w:t>：指为保障机构正常运转、完成日常工作任务而发生的人员支出和公用支出。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十、项目支出</w:t>
      </w:r>
      <w:r>
        <w:rPr>
          <w:rFonts w:hint="eastAsia" w:asciiTheme="minorEastAsia" w:hAnsiTheme="minorEastAsia" w:cstheme="minorEastAsia"/>
          <w:color w:val="333333"/>
          <w:sz w:val="28"/>
          <w:szCs w:val="28"/>
        </w:rPr>
        <w:t>：指在基本支出之外为完成特定行政任务和事业发展目标所发生的支出。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十一、经营支出</w:t>
      </w:r>
      <w:r>
        <w:rPr>
          <w:rFonts w:hint="eastAsia" w:asciiTheme="minorEastAsia" w:hAnsiTheme="minorEastAsia" w:cstheme="minorEastAsia"/>
          <w:color w:val="333333"/>
          <w:sz w:val="28"/>
          <w:szCs w:val="28"/>
        </w:rPr>
        <w:t>：指事业单位在专业业务活动及其辅助活动之外开展非独立核算经营活动发生的支出。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十二、“三公”经费</w:t>
      </w:r>
      <w:r>
        <w:rPr>
          <w:rFonts w:hint="eastAsia" w:asciiTheme="minorEastAsia" w:hAnsiTheme="minorEastAsia" w:cstheme="minor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180" w:beforeAutospacing="0" w:after="360" w:afterAutospacing="0" w:line="450" w:lineRule="atLeast"/>
        <w:ind w:firstLine="729"/>
        <w:rPr>
          <w:rFonts w:asciiTheme="minorEastAsia" w:hAnsiTheme="minorEastAsia" w:cstheme="minorEastAsia"/>
          <w:sz w:val="28"/>
          <w:szCs w:val="28"/>
        </w:rPr>
      </w:pPr>
      <w:r>
        <w:rPr>
          <w:rFonts w:hint="eastAsia" w:asciiTheme="minorEastAsia" w:hAnsiTheme="minorEastAsia" w:cstheme="minorEastAsia"/>
          <w:b/>
          <w:color w:val="333333"/>
          <w:sz w:val="28"/>
          <w:szCs w:val="28"/>
        </w:rPr>
        <w:t>十三、机关运行经费</w:t>
      </w:r>
      <w:r>
        <w:rPr>
          <w:rFonts w:hint="eastAsia" w:asciiTheme="minorEastAsia" w:hAnsi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04B5236"/>
    <w:rsid w:val="006705BB"/>
    <w:rsid w:val="00760BB8"/>
    <w:rsid w:val="01340F75"/>
    <w:rsid w:val="01927DD0"/>
    <w:rsid w:val="03B1482C"/>
    <w:rsid w:val="03FE7F0E"/>
    <w:rsid w:val="045A6D16"/>
    <w:rsid w:val="098217C0"/>
    <w:rsid w:val="0BC57C18"/>
    <w:rsid w:val="0E980DC7"/>
    <w:rsid w:val="0EAE02A1"/>
    <w:rsid w:val="179B676B"/>
    <w:rsid w:val="18433068"/>
    <w:rsid w:val="196A0C95"/>
    <w:rsid w:val="1CFB22BC"/>
    <w:rsid w:val="255245C7"/>
    <w:rsid w:val="25F535CE"/>
    <w:rsid w:val="2A054FEB"/>
    <w:rsid w:val="2DE7389C"/>
    <w:rsid w:val="31997905"/>
    <w:rsid w:val="32155DA7"/>
    <w:rsid w:val="326B0E84"/>
    <w:rsid w:val="34FD6C14"/>
    <w:rsid w:val="3B0E2005"/>
    <w:rsid w:val="3DDC6AB6"/>
    <w:rsid w:val="3E9379B3"/>
    <w:rsid w:val="419008B3"/>
    <w:rsid w:val="4A0321AA"/>
    <w:rsid w:val="5E2F77E2"/>
    <w:rsid w:val="62763A6A"/>
    <w:rsid w:val="68956FB5"/>
    <w:rsid w:val="6B6E45D7"/>
    <w:rsid w:val="6BC52739"/>
    <w:rsid w:val="763C3B43"/>
    <w:rsid w:val="768870B2"/>
    <w:rsid w:val="77812582"/>
    <w:rsid w:val="78E63923"/>
    <w:rsid w:val="7BC22F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20"/>
    <w:qFormat/>
    <w:uiPriority w:val="0"/>
    <w:pPr>
      <w:tabs>
        <w:tab w:val="center" w:pos="4153"/>
        <w:tab w:val="right" w:pos="8306"/>
      </w:tabs>
      <w:snapToGrid w:val="0"/>
      <w:jc w:val="left"/>
    </w:pPr>
    <w:rPr>
      <w:sz w:val="18"/>
      <w:szCs w:val="18"/>
    </w:rPr>
  </w:style>
  <w:style w:type="paragraph" w:styleId="3">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 w:type="character" w:styleId="7">
    <w:name w:val="FollowedHyperlink"/>
    <w:basedOn w:val="5"/>
    <w:qFormat/>
    <w:uiPriority w:val="0"/>
    <w:rPr>
      <w:color w:val="333333"/>
      <w:sz w:val="18"/>
      <w:szCs w:val="18"/>
      <w:u w:val="none"/>
    </w:rPr>
  </w:style>
  <w:style w:type="character" w:styleId="8">
    <w:name w:val="Emphasis"/>
    <w:basedOn w:val="5"/>
    <w:qFormat/>
    <w:uiPriority w:val="0"/>
    <w:rPr>
      <w:i/>
    </w:rPr>
  </w:style>
  <w:style w:type="character" w:styleId="9">
    <w:name w:val="Hyperlink"/>
    <w:basedOn w:val="5"/>
    <w:qFormat/>
    <w:uiPriority w:val="0"/>
    <w:rPr>
      <w:color w:val="333333"/>
      <w:sz w:val="18"/>
      <w:szCs w:val="18"/>
      <w:u w:val="none"/>
    </w:rPr>
  </w:style>
  <w:style w:type="character" w:customStyle="1" w:styleId="11">
    <w:name w:val="laiy"/>
    <w:basedOn w:val="5"/>
    <w:qFormat/>
    <w:uiPriority w:val="0"/>
  </w:style>
  <w:style w:type="character" w:customStyle="1" w:styleId="12">
    <w:name w:val="zuoz"/>
    <w:basedOn w:val="5"/>
    <w:qFormat/>
    <w:uiPriority w:val="0"/>
  </w:style>
  <w:style w:type="character" w:customStyle="1" w:styleId="13">
    <w:name w:val="update"/>
    <w:basedOn w:val="5"/>
    <w:qFormat/>
    <w:uiPriority w:val="0"/>
  </w:style>
  <w:style w:type="character" w:customStyle="1" w:styleId="14">
    <w:name w:val="hot1"/>
    <w:basedOn w:val="5"/>
    <w:qFormat/>
    <w:uiPriority w:val="0"/>
  </w:style>
  <w:style w:type="character" w:customStyle="1" w:styleId="15">
    <w:name w:val="td12"/>
    <w:basedOn w:val="5"/>
    <w:qFormat/>
    <w:uiPriority w:val="0"/>
    <w:rPr>
      <w:rFonts w:ascii="Arial" w:hAnsi="Arial" w:cs="Arial"/>
      <w:color w:val="FFFFFF"/>
      <w:sz w:val="16"/>
      <w:szCs w:val="16"/>
    </w:rPr>
  </w:style>
  <w:style w:type="character" w:customStyle="1" w:styleId="16">
    <w:name w:val="td22"/>
    <w:basedOn w:val="5"/>
    <w:qFormat/>
    <w:uiPriority w:val="0"/>
  </w:style>
  <w:style w:type="character" w:customStyle="1" w:styleId="17">
    <w:name w:val="td32"/>
    <w:basedOn w:val="5"/>
    <w:qFormat/>
    <w:uiPriority w:val="0"/>
  </w:style>
  <w:style w:type="character" w:customStyle="1" w:styleId="18">
    <w:name w:val="home"/>
    <w:basedOn w:val="5"/>
    <w:qFormat/>
    <w:uiPriority w:val="0"/>
  </w:style>
  <w:style w:type="character" w:customStyle="1" w:styleId="19">
    <w:name w:val="页眉 Char"/>
    <w:basedOn w:val="5"/>
    <w:link w:val="3"/>
    <w:qFormat/>
    <w:uiPriority w:val="0"/>
    <w:rPr>
      <w:rFonts w:asciiTheme="minorHAnsi" w:hAnsiTheme="minorHAnsi" w:eastAsiaTheme="minorEastAsia" w:cstheme="minorBidi"/>
      <w:kern w:val="2"/>
      <w:sz w:val="18"/>
      <w:szCs w:val="18"/>
    </w:rPr>
  </w:style>
  <w:style w:type="character" w:customStyle="1" w:styleId="20">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524</Words>
  <Characters>2993</Characters>
  <Lines>24</Lines>
  <Paragraphs>7</Paragraphs>
  <TotalTime>6</TotalTime>
  <ScaleCrop>false</ScaleCrop>
  <LinksUpToDate>false</LinksUpToDate>
  <CharactersWithSpaces>3510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2019-08-28T01:05:00Z</dcterms:created>
  <dc:creator>tianlinyu</dc:creator>
  <cp:lastModifiedBy>开心果</cp:lastModifiedBy>
  <dcterms:modified xsi:type="dcterms:W3CDTF">2019-09-19T06:28:44Z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